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42"/>
        <w:jc w:val="center"/>
        <w:rPr>
          <w:rFonts w:ascii="仿宋" w:hAnsi="仿宋" w:eastAsia="仿宋" w:cs="仿宋"/>
          <w:b/>
          <w:bCs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u w:val="single"/>
          <w:lang w:val="en-US" w:eastAsia="zh-Hans"/>
        </w:rPr>
        <w:t>研究生</w:t>
      </w:r>
      <w:r>
        <w:rPr>
          <w:rFonts w:hint="eastAsia" w:ascii="仿宋" w:hAnsi="仿宋" w:eastAsia="仿宋" w:cs="仿宋"/>
          <w:b/>
          <w:bCs/>
          <w:sz w:val="36"/>
          <w:szCs w:val="36"/>
        </w:rPr>
        <w:t>学位论文</w:t>
      </w: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Hans"/>
        </w:rPr>
        <w:t>中期考核</w:t>
      </w:r>
      <w:r>
        <w:rPr>
          <w:rFonts w:hint="eastAsia" w:ascii="仿宋" w:hAnsi="仿宋" w:eastAsia="仿宋" w:cs="仿宋"/>
          <w:b/>
          <w:bCs/>
          <w:sz w:val="36"/>
          <w:szCs w:val="36"/>
        </w:rPr>
        <w:t>安排</w:t>
      </w:r>
    </w:p>
    <w:p>
      <w:pPr>
        <w:jc w:val="center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第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Hans"/>
        </w:rPr>
        <w:t>六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组</w:t>
      </w:r>
    </w:p>
    <w:p/>
    <w:p>
      <w:pPr>
        <w:rPr>
          <w:rFonts w:hint="default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一、时间：</w:t>
      </w:r>
      <w:r>
        <w:rPr>
          <w:rFonts w:hint="eastAsia" w:ascii="仿宋" w:hAnsi="仿宋" w:eastAsia="仿宋" w:cs="仿宋"/>
          <w:sz w:val="28"/>
          <w:szCs w:val="28"/>
        </w:rPr>
        <w:t>2023年</w:t>
      </w:r>
      <w:r>
        <w:rPr>
          <w:rFonts w:hint="default" w:ascii="仿宋" w:hAnsi="仿宋" w:eastAsia="仿宋" w:cs="仿宋"/>
          <w:sz w:val="28"/>
          <w:szCs w:val="28"/>
        </w:rPr>
        <w:t>10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default" w:ascii="仿宋" w:hAnsi="仿宋" w:eastAsia="仿宋" w:cs="仿宋"/>
          <w:sz w:val="28"/>
          <w:szCs w:val="28"/>
        </w:rPr>
        <w:t>28</w:t>
      </w:r>
      <w:r>
        <w:rPr>
          <w:rFonts w:hint="eastAsia" w:ascii="仿宋" w:hAnsi="仿宋" w:eastAsia="仿宋" w:cs="仿宋"/>
          <w:sz w:val="28"/>
          <w:szCs w:val="28"/>
        </w:rPr>
        <w:t>日，</w:t>
      </w:r>
      <w:r>
        <w:rPr>
          <w:rFonts w:hint="default" w:ascii="仿宋" w:hAnsi="仿宋" w:eastAsia="仿宋" w:cs="仿宋"/>
          <w:sz w:val="28"/>
          <w:szCs w:val="28"/>
        </w:rPr>
        <w:t>8</w:t>
      </w:r>
      <w:r>
        <w:rPr>
          <w:rFonts w:hint="eastAsia" w:ascii="仿宋" w:hAnsi="仿宋" w:eastAsia="仿宋" w:cs="仿宋"/>
          <w:sz w:val="28"/>
          <w:szCs w:val="28"/>
        </w:rPr>
        <w:t>:</w:t>
      </w:r>
      <w:r>
        <w:rPr>
          <w:rFonts w:hint="default" w:ascii="仿宋" w:hAnsi="仿宋" w:eastAsia="仿宋" w:cs="仿宋"/>
          <w:sz w:val="28"/>
          <w:szCs w:val="28"/>
        </w:rPr>
        <w:t>00</w:t>
      </w:r>
      <w:r>
        <w:rPr>
          <w:rFonts w:hint="eastAsia" w:ascii="仿宋" w:hAnsi="仿宋" w:eastAsia="仿宋" w:cs="仿宋"/>
          <w:sz w:val="28"/>
          <w:szCs w:val="28"/>
        </w:rPr>
        <w:t>-</w:t>
      </w:r>
      <w:r>
        <w:rPr>
          <w:rFonts w:hint="default" w:ascii="仿宋" w:hAnsi="仿宋" w:eastAsia="仿宋" w:cs="仿宋"/>
          <w:sz w:val="28"/>
          <w:szCs w:val="28"/>
        </w:rPr>
        <w:t>12</w:t>
      </w:r>
      <w:r>
        <w:rPr>
          <w:rFonts w:hint="eastAsia" w:ascii="仿宋" w:hAnsi="仿宋" w:eastAsia="仿宋" w:cs="仿宋"/>
          <w:sz w:val="28"/>
          <w:szCs w:val="28"/>
        </w:rPr>
        <w:t>:</w:t>
      </w:r>
      <w:r>
        <w:rPr>
          <w:rFonts w:hint="default" w:ascii="仿宋" w:hAnsi="仿宋" w:eastAsia="仿宋" w:cs="仿宋"/>
          <w:sz w:val="28"/>
          <w:szCs w:val="28"/>
        </w:rPr>
        <w:t>00</w:t>
      </w:r>
    </w:p>
    <w:p>
      <w:pPr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二、地点：</w:t>
      </w:r>
      <w:r>
        <w:rPr>
          <w:rFonts w:hint="default" w:ascii="仿宋" w:hAnsi="仿宋" w:eastAsia="仿宋" w:cs="仿宋"/>
          <w:sz w:val="28"/>
          <w:szCs w:val="28"/>
        </w:rPr>
        <w:t>16-</w:t>
      </w:r>
      <w:r>
        <w:rPr>
          <w:rFonts w:hint="default" w:ascii="仿宋" w:hAnsi="仿宋" w:eastAsia="仿宋" w:cs="仿宋"/>
          <w:sz w:val="28"/>
          <w:szCs w:val="28"/>
        </w:rPr>
        <w:t>403</w:t>
      </w:r>
    </w:p>
    <w:p>
      <w:pPr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三、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Hans"/>
        </w:rPr>
        <w:t>中期考核小组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1"/>
        <w:gridCol w:w="2004"/>
        <w:gridCol w:w="2996"/>
        <w:gridCol w:w="2131"/>
      </w:tblGrid>
      <w:tr>
        <w:trPr>
          <w:trHeight w:val="510" w:hRule="atLeast"/>
        </w:trPr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Hans"/>
              </w:rPr>
              <w:t>姓名</w:t>
            </w:r>
          </w:p>
        </w:tc>
        <w:tc>
          <w:tcPr>
            <w:tcW w:w="200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Hans"/>
              </w:rPr>
              <w:t>职称</w:t>
            </w:r>
          </w:p>
        </w:tc>
        <w:tc>
          <w:tcPr>
            <w:tcW w:w="299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Hans"/>
              </w:rPr>
              <w:t>工作单位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Hans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atLeast"/>
        </w:trPr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Hans"/>
              </w:rPr>
            </w:pPr>
            <w:r>
              <w:rPr>
                <w:rFonts w:hint="default" w:ascii="仿宋" w:hAnsi="仿宋" w:eastAsia="仿宋" w:cs="仿宋"/>
                <w:sz w:val="24"/>
                <w:lang w:val="en-US" w:eastAsia="zh-CN"/>
              </w:rPr>
              <w:t>张宝山</w:t>
            </w:r>
          </w:p>
        </w:tc>
        <w:tc>
          <w:tcPr>
            <w:tcW w:w="200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Hans"/>
              </w:rPr>
              <w:t>教授</w:t>
            </w:r>
          </w:p>
        </w:tc>
        <w:tc>
          <w:tcPr>
            <w:tcW w:w="299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Hans"/>
              </w:rPr>
              <w:t>陕西师范大学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Hans"/>
              </w:rPr>
              <w:t>组长</w:t>
            </w:r>
          </w:p>
        </w:tc>
      </w:tr>
      <w:tr>
        <w:trPr>
          <w:trHeight w:val="510" w:hRule="atLeast"/>
        </w:trPr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Hans"/>
              </w:rPr>
            </w:pPr>
            <w:r>
              <w:rPr>
                <w:rFonts w:hint="default" w:ascii="仿宋" w:hAnsi="仿宋" w:eastAsia="仿宋" w:cs="仿宋"/>
                <w:sz w:val="24"/>
                <w:lang w:val="en-US" w:eastAsia="zh-CN"/>
              </w:rPr>
              <w:t>谢瑞波</w:t>
            </w:r>
          </w:p>
        </w:tc>
        <w:tc>
          <w:tcPr>
            <w:tcW w:w="200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Hans"/>
              </w:rPr>
              <w:t>副教授</w:t>
            </w:r>
          </w:p>
        </w:tc>
        <w:tc>
          <w:tcPr>
            <w:tcW w:w="299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Hans"/>
              </w:rPr>
              <w:t>浙江师范大学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Hans"/>
              </w:rPr>
            </w:pPr>
          </w:p>
        </w:tc>
      </w:tr>
      <w:tr>
        <w:trPr>
          <w:trHeight w:val="510" w:hRule="atLeast"/>
        </w:trPr>
        <w:tc>
          <w:tcPr>
            <w:tcW w:w="1391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lang w:val="en-US" w:eastAsia="zh-CN"/>
              </w:rPr>
              <w:t>陈建勇</w:t>
            </w:r>
          </w:p>
        </w:tc>
        <w:tc>
          <w:tcPr>
            <w:tcW w:w="200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Hans"/>
              </w:rPr>
              <w:t>讲师</w:t>
            </w:r>
            <w:bookmarkStart w:id="0" w:name="_GoBack"/>
            <w:bookmarkEnd w:id="0"/>
          </w:p>
        </w:tc>
        <w:tc>
          <w:tcPr>
            <w:tcW w:w="299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Hans"/>
              </w:rPr>
              <w:t>浙江师范大学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Hans"/>
              </w:rPr>
            </w:pPr>
          </w:p>
        </w:tc>
      </w:tr>
    </w:tbl>
    <w:p>
      <w:pPr>
        <w:rPr>
          <w:rFonts w:hint="eastAsia" w:ascii="仿宋" w:hAnsi="仿宋" w:eastAsia="仿宋" w:cs="仿宋"/>
          <w:b/>
          <w:bCs/>
          <w:sz w:val="21"/>
          <w:szCs w:val="21"/>
        </w:rPr>
      </w:pP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四、秘书：</w:t>
      </w:r>
      <w:r>
        <w:rPr>
          <w:rFonts w:hint="eastAsia" w:ascii="仿宋" w:hAnsi="仿宋" w:eastAsia="仿宋" w:cs="仿宋"/>
          <w:sz w:val="28"/>
          <w:szCs w:val="28"/>
          <w:lang w:val="en-US" w:eastAsia="zh-Hans"/>
        </w:rPr>
        <w:t>宋科宣</w:t>
      </w:r>
      <w:r>
        <w:rPr>
          <w:rFonts w:hint="eastAsia" w:ascii="仿宋" w:hAnsi="仿宋" w:eastAsia="仿宋" w:cs="仿宋"/>
          <w:sz w:val="28"/>
          <w:szCs w:val="28"/>
        </w:rPr>
        <w:t>（长号：15638764818，邮箱：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fldChar w:fldCharType="begin"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instrText xml:space="preserve"> HYPERLINK "mailto:610617814@qq.com" </w:instrTex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fldChar w:fldCharType="separate"/>
      </w:r>
      <w:r>
        <w:rPr>
          <w:rFonts w:hint="eastAsia" w:ascii="仿宋" w:hAnsi="仿宋" w:eastAsia="仿宋" w:cs="仿宋"/>
          <w:sz w:val="28"/>
          <w:szCs w:val="28"/>
        </w:rPr>
        <w:t>610617814@qq.com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fldChar w:fldCharType="end"/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）</w:t>
      </w:r>
    </w:p>
    <w:p>
      <w:pPr>
        <w:spacing w:before="156" w:beforeLines="5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五、参加答辩研究生</w:t>
      </w:r>
    </w:p>
    <w:tbl>
      <w:tblPr>
        <w:tblStyle w:val="6"/>
        <w:tblW w:w="72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5"/>
        <w:gridCol w:w="1213"/>
        <w:gridCol w:w="1033"/>
        <w:gridCol w:w="4288"/>
      </w:tblGrid>
      <w:tr>
        <w:trPr>
          <w:trHeight w:val="398" w:hRule="atLeast"/>
          <w:jc w:val="center"/>
        </w:trPr>
        <w:tc>
          <w:tcPr>
            <w:tcW w:w="7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Hans"/>
              </w:rPr>
              <w:t>序号</w:t>
            </w:r>
          </w:p>
        </w:tc>
        <w:tc>
          <w:tcPr>
            <w:tcW w:w="121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Hans"/>
              </w:rPr>
              <w:t>姓名</w:t>
            </w:r>
          </w:p>
        </w:tc>
        <w:tc>
          <w:tcPr>
            <w:tcW w:w="103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Hans"/>
              </w:rPr>
              <w:t>导师</w:t>
            </w:r>
          </w:p>
        </w:tc>
        <w:tc>
          <w:tcPr>
            <w:tcW w:w="42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Hans"/>
              </w:rPr>
              <w:t>学位论文题目</w:t>
            </w:r>
          </w:p>
        </w:tc>
      </w:tr>
      <w:tr>
        <w:trPr>
          <w:jc w:val="center"/>
        </w:trPr>
        <w:tc>
          <w:tcPr>
            <w:tcW w:w="7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Hans"/>
              </w:rPr>
              <w:t>1</w:t>
            </w:r>
          </w:p>
        </w:tc>
        <w:tc>
          <w:tcPr>
            <w:tcW w:w="121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Hans"/>
              </w:rPr>
            </w:pPr>
            <w:r>
              <w:rPr>
                <w:rFonts w:hint="default" w:ascii="仿宋" w:hAnsi="仿宋" w:eastAsia="仿宋" w:cs="仿宋"/>
                <w:sz w:val="24"/>
                <w:lang w:val="en-US" w:eastAsia="zh-CN"/>
              </w:rPr>
              <w:t>朱锋</w:t>
            </w:r>
          </w:p>
        </w:tc>
        <w:tc>
          <w:tcPr>
            <w:tcW w:w="103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lang w:val="en-US" w:eastAsia="zh-CN"/>
              </w:rPr>
              <w:t>孙炳海</w:t>
            </w:r>
          </w:p>
        </w:tc>
        <w:tc>
          <w:tcPr>
            <w:tcW w:w="42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lang w:val="en-US" w:eastAsia="zh-CN"/>
              </w:rPr>
              <w:t>专家—新手教师在课堂教学中对学生的注视差异：基于自然教学情境下的眼动研究</w:t>
            </w:r>
          </w:p>
        </w:tc>
      </w:tr>
      <w:tr>
        <w:trPr>
          <w:jc w:val="center"/>
        </w:trPr>
        <w:tc>
          <w:tcPr>
            <w:tcW w:w="7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Hans"/>
              </w:rPr>
              <w:t>2</w:t>
            </w:r>
          </w:p>
        </w:tc>
        <w:tc>
          <w:tcPr>
            <w:tcW w:w="121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lang w:val="en-US" w:eastAsia="zh-CN"/>
              </w:rPr>
              <w:t>武莹</w:t>
            </w:r>
          </w:p>
        </w:tc>
        <w:tc>
          <w:tcPr>
            <w:tcW w:w="103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lang w:val="en-US" w:eastAsia="zh-CN"/>
              </w:rPr>
              <w:t>孙炳海</w:t>
            </w:r>
          </w:p>
        </w:tc>
        <w:tc>
          <w:tcPr>
            <w:tcW w:w="42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lang w:val="en-US" w:eastAsia="zh-CN"/>
              </w:rPr>
              <w:t>态度效价和频率对人际吸引的影响及其边界条件的探讨</w:t>
            </w:r>
          </w:p>
        </w:tc>
      </w:tr>
      <w:tr>
        <w:trPr>
          <w:jc w:val="center"/>
        </w:trPr>
        <w:tc>
          <w:tcPr>
            <w:tcW w:w="7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Hans"/>
              </w:rPr>
              <w:t>3</w:t>
            </w:r>
          </w:p>
        </w:tc>
        <w:tc>
          <w:tcPr>
            <w:tcW w:w="121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杨青风</w:t>
            </w:r>
          </w:p>
        </w:tc>
        <w:tc>
          <w:tcPr>
            <w:tcW w:w="103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丁菀</w:t>
            </w:r>
          </w:p>
        </w:tc>
        <w:tc>
          <w:tcPr>
            <w:tcW w:w="42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童年期严厉管教与青少年自杀意念和非自杀性自伤发展轨迹的关系：自我同情的调节作用</w:t>
            </w:r>
          </w:p>
        </w:tc>
      </w:tr>
      <w:tr>
        <w:trPr>
          <w:jc w:val="center"/>
        </w:trPr>
        <w:tc>
          <w:tcPr>
            <w:tcW w:w="7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Hans"/>
              </w:rPr>
              <w:t>4</w:t>
            </w:r>
          </w:p>
        </w:tc>
        <w:tc>
          <w:tcPr>
            <w:tcW w:w="121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白宛艳</w:t>
            </w:r>
          </w:p>
        </w:tc>
        <w:tc>
          <w:tcPr>
            <w:tcW w:w="103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丁菀</w:t>
            </w:r>
          </w:p>
        </w:tc>
        <w:tc>
          <w:tcPr>
            <w:tcW w:w="42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父母婚姻满意度对正念教养的影响机制及干预研究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7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Hans"/>
              </w:rPr>
              <w:t>5</w:t>
            </w:r>
          </w:p>
        </w:tc>
        <w:tc>
          <w:tcPr>
            <w:tcW w:w="121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方静</w:t>
            </w:r>
          </w:p>
        </w:tc>
        <w:tc>
          <w:tcPr>
            <w:tcW w:w="103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丁菀</w:t>
            </w:r>
          </w:p>
        </w:tc>
        <w:tc>
          <w:tcPr>
            <w:tcW w:w="42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儿童期父母冲突对高中生孤独感的影响机制及干预研究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7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Hans"/>
              </w:rPr>
              <w:t>6</w:t>
            </w:r>
          </w:p>
        </w:tc>
        <w:tc>
          <w:tcPr>
            <w:tcW w:w="121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Hans"/>
              </w:rPr>
            </w:pPr>
            <w:r>
              <w:rPr>
                <w:rFonts w:hint="default" w:ascii="仿宋" w:hAnsi="仿宋" w:eastAsia="仿宋" w:cs="仿宋"/>
                <w:sz w:val="24"/>
                <w:lang w:val="en-US" w:eastAsia="zh-CN"/>
              </w:rPr>
              <w:t>诸晓雯</w:t>
            </w:r>
          </w:p>
        </w:tc>
        <w:tc>
          <w:tcPr>
            <w:tcW w:w="103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Hans"/>
              </w:rPr>
            </w:pPr>
            <w:r>
              <w:rPr>
                <w:rFonts w:hint="default" w:ascii="仿宋" w:hAnsi="仿宋" w:eastAsia="仿宋" w:cs="仿宋"/>
                <w:sz w:val="24"/>
                <w:lang w:val="en-US" w:eastAsia="zh-CN"/>
              </w:rPr>
              <w:t>褚晓伟</w:t>
            </w:r>
          </w:p>
        </w:tc>
        <w:tc>
          <w:tcPr>
            <w:tcW w:w="42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Hans"/>
              </w:rPr>
            </w:pPr>
            <w:r>
              <w:rPr>
                <w:rFonts w:hint="default" w:ascii="仿宋" w:hAnsi="仿宋" w:eastAsia="仿宋" w:cs="仿宋"/>
                <w:sz w:val="24"/>
                <w:lang w:val="en-US" w:eastAsia="zh-CN"/>
              </w:rPr>
              <w:t>感恩对第三方惩罚的影响：道德义愤的中介作用及惩罚成本的调节作用</w:t>
            </w:r>
          </w:p>
        </w:tc>
      </w:tr>
      <w:tr>
        <w:trPr>
          <w:jc w:val="center"/>
        </w:trPr>
        <w:tc>
          <w:tcPr>
            <w:tcW w:w="7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Hans"/>
              </w:rPr>
              <w:t>7</w:t>
            </w:r>
          </w:p>
        </w:tc>
        <w:tc>
          <w:tcPr>
            <w:tcW w:w="1213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lang w:val="en-US" w:eastAsia="zh-CN"/>
              </w:rPr>
              <w:t>赵誉婧</w:t>
            </w:r>
          </w:p>
        </w:tc>
        <w:tc>
          <w:tcPr>
            <w:tcW w:w="103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lang w:val="en-US" w:eastAsia="zh-CN"/>
              </w:rPr>
              <w:t>褚晓伟</w:t>
            </w:r>
          </w:p>
        </w:tc>
        <w:tc>
          <w:tcPr>
            <w:tcW w:w="42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lang w:val="en-US" w:eastAsia="zh-CN"/>
              </w:rPr>
              <w:t>中学生旁观者局外行为的问卷编制及局外行 为与旁观者行为的相互转化——以网络欺负为背景</w:t>
            </w:r>
          </w:p>
        </w:tc>
      </w:tr>
      <w:tr>
        <w:trPr>
          <w:jc w:val="center"/>
        </w:trPr>
        <w:tc>
          <w:tcPr>
            <w:tcW w:w="7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Hans"/>
              </w:rPr>
            </w:pPr>
            <w:r>
              <w:rPr>
                <w:rFonts w:hint="default" w:ascii="仿宋" w:hAnsi="仿宋" w:eastAsia="仿宋" w:cs="仿宋"/>
                <w:sz w:val="24"/>
                <w:lang w:val="en-US" w:eastAsia="zh-Hans"/>
              </w:rPr>
              <w:t>8</w:t>
            </w:r>
          </w:p>
        </w:tc>
        <w:tc>
          <w:tcPr>
            <w:tcW w:w="121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lang w:val="en-US" w:eastAsia="zh-CN"/>
              </w:rPr>
              <w:t>戎珂欣</w:t>
            </w:r>
          </w:p>
        </w:tc>
        <w:tc>
          <w:tcPr>
            <w:tcW w:w="103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lang w:val="en-US" w:eastAsia="zh-CN"/>
              </w:rPr>
              <w:t>褚晓伟</w:t>
            </w:r>
          </w:p>
        </w:tc>
        <w:tc>
          <w:tcPr>
            <w:tcW w:w="42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lang w:val="en-US" w:eastAsia="zh-CN"/>
              </w:rPr>
              <w:t>内隐自尊对网络欺凌旁观者行为的影响：尴尬和共情尴尬的调节作用</w:t>
            </w:r>
          </w:p>
        </w:tc>
      </w:tr>
      <w:tr>
        <w:trPr>
          <w:jc w:val="center"/>
        </w:trPr>
        <w:tc>
          <w:tcPr>
            <w:tcW w:w="7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Hans"/>
              </w:rPr>
            </w:pPr>
            <w:r>
              <w:rPr>
                <w:rFonts w:hint="default" w:ascii="仿宋" w:hAnsi="仿宋" w:eastAsia="仿宋" w:cs="仿宋"/>
                <w:sz w:val="24"/>
                <w:lang w:val="en-US" w:eastAsia="zh-Hans"/>
              </w:rPr>
              <w:t>9</w:t>
            </w:r>
          </w:p>
        </w:tc>
        <w:tc>
          <w:tcPr>
            <w:tcW w:w="121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杨钰梁</w:t>
            </w:r>
          </w:p>
        </w:tc>
        <w:tc>
          <w:tcPr>
            <w:tcW w:w="103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陈海德</w:t>
            </w:r>
          </w:p>
        </w:tc>
        <w:tc>
          <w:tcPr>
            <w:tcW w:w="42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说服对吸烟者吸烟内隐态度的影响</w:t>
            </w:r>
          </w:p>
        </w:tc>
      </w:tr>
      <w:tr>
        <w:trPr>
          <w:jc w:val="center"/>
        </w:trPr>
        <w:tc>
          <w:tcPr>
            <w:tcW w:w="7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Hans"/>
              </w:rPr>
            </w:pPr>
            <w:r>
              <w:rPr>
                <w:rFonts w:hint="default" w:ascii="仿宋" w:hAnsi="仿宋" w:eastAsia="仿宋" w:cs="仿宋"/>
                <w:sz w:val="24"/>
                <w:lang w:val="en-US" w:eastAsia="zh-Hans"/>
              </w:rPr>
              <w:t>10</w:t>
            </w:r>
          </w:p>
        </w:tc>
        <w:tc>
          <w:tcPr>
            <w:tcW w:w="121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赵弯</w:t>
            </w:r>
          </w:p>
        </w:tc>
        <w:tc>
          <w:tcPr>
            <w:tcW w:w="103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陈海德</w:t>
            </w:r>
          </w:p>
        </w:tc>
        <w:tc>
          <w:tcPr>
            <w:tcW w:w="42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《不同类型体验感对网络游戏 成瘾者线索反应的影响》</w:t>
            </w:r>
          </w:p>
        </w:tc>
      </w:tr>
      <w:tr>
        <w:trPr>
          <w:jc w:val="center"/>
        </w:trPr>
        <w:tc>
          <w:tcPr>
            <w:tcW w:w="7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Hans"/>
              </w:rPr>
            </w:pPr>
            <w:r>
              <w:rPr>
                <w:rFonts w:hint="default" w:ascii="仿宋" w:hAnsi="仿宋" w:eastAsia="仿宋" w:cs="仿宋"/>
                <w:sz w:val="24"/>
                <w:lang w:val="en-US" w:eastAsia="zh-Hans"/>
              </w:rPr>
              <w:t>11</w:t>
            </w:r>
          </w:p>
        </w:tc>
        <w:tc>
          <w:tcPr>
            <w:tcW w:w="121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赖可莹</w:t>
            </w:r>
          </w:p>
        </w:tc>
        <w:tc>
          <w:tcPr>
            <w:tcW w:w="103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陈海德</w:t>
            </w:r>
          </w:p>
        </w:tc>
        <w:tc>
          <w:tcPr>
            <w:tcW w:w="42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反事实思维对高热量食物摄入意向的影响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7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Hans"/>
              </w:rPr>
            </w:pPr>
            <w:r>
              <w:rPr>
                <w:rFonts w:hint="default" w:ascii="仿宋" w:hAnsi="仿宋" w:eastAsia="仿宋" w:cs="仿宋"/>
                <w:sz w:val="24"/>
                <w:lang w:val="en-US" w:eastAsia="zh-Hans"/>
              </w:rPr>
              <w:t>12</w:t>
            </w:r>
          </w:p>
        </w:tc>
        <w:tc>
          <w:tcPr>
            <w:tcW w:w="121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刘伟</w:t>
            </w:r>
          </w:p>
        </w:tc>
        <w:tc>
          <w:tcPr>
            <w:tcW w:w="103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陈海德</w:t>
            </w:r>
          </w:p>
        </w:tc>
        <w:tc>
          <w:tcPr>
            <w:tcW w:w="42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吸烟者身份认同对戒烟意愿的影响：污名化和自我肯定的作用</w:t>
            </w:r>
          </w:p>
        </w:tc>
      </w:tr>
      <w:tr>
        <w:trPr>
          <w:jc w:val="center"/>
        </w:trPr>
        <w:tc>
          <w:tcPr>
            <w:tcW w:w="7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Hans"/>
              </w:rPr>
            </w:pPr>
            <w:r>
              <w:rPr>
                <w:rFonts w:hint="default" w:ascii="仿宋" w:hAnsi="仿宋" w:eastAsia="仿宋" w:cs="仿宋"/>
                <w:sz w:val="24"/>
                <w:lang w:val="en-US" w:eastAsia="zh-Hans"/>
              </w:rPr>
              <w:t>13</w:t>
            </w:r>
          </w:p>
        </w:tc>
        <w:tc>
          <w:tcPr>
            <w:tcW w:w="121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lang w:val="en-US" w:eastAsia="zh-CN"/>
              </w:rPr>
              <w:t>郑梦君</w:t>
            </w:r>
          </w:p>
        </w:tc>
        <w:tc>
          <w:tcPr>
            <w:tcW w:w="103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lang w:val="en-US" w:eastAsia="zh-CN"/>
              </w:rPr>
              <w:t>强瑞超</w:t>
            </w:r>
          </w:p>
        </w:tc>
        <w:tc>
          <w:tcPr>
            <w:tcW w:w="42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lang w:val="en-US" w:eastAsia="zh-CN"/>
              </w:rPr>
              <w:t>排斥后接纳对亲群体行为的影响——群体地位的调节作用</w:t>
            </w:r>
          </w:p>
        </w:tc>
      </w:tr>
      <w:tr>
        <w:trPr>
          <w:jc w:val="center"/>
        </w:trPr>
        <w:tc>
          <w:tcPr>
            <w:tcW w:w="75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lang w:val="en-US" w:eastAsia="zh-Hans"/>
              </w:rPr>
            </w:pPr>
            <w:r>
              <w:rPr>
                <w:rFonts w:hint="default" w:ascii="仿宋" w:hAnsi="仿宋" w:eastAsia="仿宋" w:cs="仿宋"/>
                <w:sz w:val="24"/>
                <w:lang w:val="en-US" w:eastAsia="zh-Hans"/>
              </w:rPr>
              <w:t>14</w:t>
            </w:r>
          </w:p>
        </w:tc>
        <w:tc>
          <w:tcPr>
            <w:tcW w:w="1213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汪小柔</w:t>
            </w:r>
          </w:p>
        </w:tc>
        <w:tc>
          <w:tcPr>
            <w:tcW w:w="1033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丁菀</w:t>
            </w:r>
          </w:p>
        </w:tc>
        <w:tc>
          <w:tcPr>
            <w:tcW w:w="4288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父母情绪教养对儿童问题行为的影响及机制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75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lang w:eastAsia="zh-Hans"/>
              </w:rPr>
            </w:pPr>
            <w:r>
              <w:rPr>
                <w:rFonts w:hint="default" w:ascii="仿宋" w:hAnsi="仿宋" w:eastAsia="仿宋" w:cs="仿宋"/>
                <w:sz w:val="24"/>
                <w:lang w:eastAsia="zh-Hans"/>
              </w:rPr>
              <w:t>15</w:t>
            </w:r>
          </w:p>
        </w:tc>
        <w:tc>
          <w:tcPr>
            <w:tcW w:w="1213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张瑞</w:t>
            </w:r>
          </w:p>
        </w:tc>
        <w:tc>
          <w:tcPr>
            <w:tcW w:w="1033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丁菀</w:t>
            </w:r>
          </w:p>
        </w:tc>
        <w:tc>
          <w:tcPr>
            <w:tcW w:w="4288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父母情绪相关教养行为对儿童情绪调节的影响及机制</w:t>
            </w:r>
          </w:p>
        </w:tc>
      </w:tr>
    </w:tbl>
    <w:p>
      <w:pPr>
        <w:ind w:firstLine="642"/>
        <w:jc w:val="center"/>
        <w:rPr>
          <w:rFonts w:ascii="仿宋" w:hAnsi="仿宋" w:eastAsia="仿宋" w:cs="仿宋"/>
          <w:b/>
          <w:bCs/>
          <w:sz w:val="36"/>
          <w:szCs w:val="36"/>
          <w:u w:val="single"/>
        </w:rPr>
      </w:pPr>
    </w:p>
    <w:p>
      <w:pPr>
        <w:ind w:firstLine="642"/>
        <w:jc w:val="center"/>
        <w:rPr>
          <w:rFonts w:ascii="仿宋" w:hAnsi="仿宋" w:eastAsia="仿宋" w:cs="仿宋"/>
          <w:b/>
          <w:bCs/>
          <w:sz w:val="36"/>
          <w:szCs w:val="36"/>
          <w:u w:val="single"/>
        </w:rPr>
        <w:sectPr>
          <w:pgSz w:w="11906" w:h="16838"/>
          <w:pgMar w:top="1213" w:right="1800" w:bottom="1213" w:left="1800" w:header="851" w:footer="992" w:gutter="0"/>
          <w:cols w:space="0" w:num="1"/>
          <w:docGrid w:type="lines" w:linePitch="312" w:charSpace="0"/>
        </w:sectPr>
      </w:pPr>
    </w:p>
    <w:p>
      <w:pPr>
        <w:ind w:firstLine="6440" w:firstLineChars="2300"/>
        <w:rPr>
          <w:rFonts w:ascii="仿宋" w:hAnsi="仿宋" w:eastAsia="仿宋" w:cs="仿宋"/>
          <w:sz w:val="28"/>
          <w:szCs w:val="28"/>
        </w:rPr>
      </w:pPr>
    </w:p>
    <w:p>
      <w:pPr>
        <w:ind w:firstLine="6440" w:firstLineChars="23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心理学院</w:t>
      </w:r>
    </w:p>
    <w:p>
      <w:pPr>
        <w:ind w:firstLine="210" w:firstLineChars="100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Cs w:val="21"/>
        </w:rPr>
        <w:t xml:space="preserve">                                                      </w:t>
      </w:r>
      <w:r>
        <w:rPr>
          <w:rFonts w:hint="eastAsia" w:ascii="仿宋" w:hAnsi="仿宋" w:eastAsia="仿宋" w:cs="仿宋"/>
          <w:sz w:val="28"/>
          <w:szCs w:val="28"/>
        </w:rPr>
        <w:t xml:space="preserve"> 2023年</w:t>
      </w:r>
      <w:r>
        <w:rPr>
          <w:rFonts w:hint="default" w:ascii="仿宋" w:hAnsi="仿宋" w:eastAsia="仿宋" w:cs="仿宋"/>
          <w:sz w:val="28"/>
          <w:szCs w:val="28"/>
        </w:rPr>
        <w:t>10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ascii="仿宋" w:hAnsi="仿宋" w:eastAsia="仿宋" w:cs="仿宋"/>
          <w:sz w:val="28"/>
          <w:szCs w:val="28"/>
        </w:rPr>
        <w:t>25</w:t>
      </w:r>
      <w:r>
        <w:rPr>
          <w:rFonts w:hint="eastAsia" w:ascii="仿宋" w:hAnsi="仿宋" w:eastAsia="仿宋" w:cs="仿宋"/>
          <w:sz w:val="28"/>
          <w:szCs w:val="28"/>
        </w:rPr>
        <w:t>日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PingFangH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804030504040204"/>
    <w:charset w:val="00"/>
    <w:family w:val="auto"/>
    <w:pitch w:val="default"/>
    <w:sig w:usb0="E1002AFF" w:usb1="C000605B" w:usb2="00000029" w:usb3="00000000" w:csb0="200101FF" w:csb1="2028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方正小标宋简体">
    <w:altName w:val="汉仪书宋二KW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7E1802"/>
    <w:rsid w:val="1D7A6D6D"/>
    <w:rsid w:val="5E971175"/>
    <w:rsid w:val="7B7E1802"/>
    <w:rsid w:val="7DFF05EC"/>
    <w:rsid w:val="BB384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  <w:style w:type="character" w:styleId="4">
    <w:name w:val="Hyperlink"/>
    <w:basedOn w:val="3"/>
    <w:uiPriority w:val="0"/>
    <w:rPr>
      <w:color w:val="0000FF"/>
      <w:u w:val="single"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p1"/>
    <w:basedOn w:val="1"/>
    <w:uiPriority w:val="0"/>
    <w:pPr>
      <w:spacing w:before="0" w:beforeAutospacing="0" w:after="0" w:afterAutospacing="0" w:line="380" w:lineRule="atLeast"/>
      <w:ind w:left="0" w:right="0"/>
      <w:jc w:val="left"/>
    </w:pPr>
    <w:rPr>
      <w:rFonts w:ascii="Helvetica Neue" w:hAnsi="Helvetica Neue" w:eastAsia="Helvetica Neue" w:cs="Helvetica Neue"/>
      <w:color w:val="000000"/>
      <w:kern w:val="0"/>
      <w:sz w:val="26"/>
      <w:szCs w:val="26"/>
      <w:lang w:val="en-US" w:eastAsia="zh-CN" w:bidi="ar"/>
    </w:rPr>
  </w:style>
  <w:style w:type="character" w:customStyle="1" w:styleId="8">
    <w:name w:val="s2"/>
    <w:basedOn w:val="3"/>
    <w:uiPriority w:val="0"/>
    <w:rPr>
      <w:color w:val="118EFF"/>
    </w:rPr>
  </w:style>
  <w:style w:type="character" w:customStyle="1" w:styleId="9">
    <w:name w:val="s1"/>
    <w:basedOn w:val="3"/>
    <w:uiPriority w:val="0"/>
    <w:rPr>
      <w:color w:val="00000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Office_3.6.1.5768_F1E327BC-269C-435d-A152-05C5408002CA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2023-10-24T10:27:00Z</dcterms:created>
  <dc:creator>apple</dc:creator>
  <cp:lastModifiedBy>apple</cp:lastModifiedBy>
  <dcterms:modified xsi:type="dcterms:W3CDTF">2023-10-24T14:17:00Z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2052-3.6.1.5768</vt:lpwstr>
  </property>
</Properties>
</file>