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Hans"/>
        </w:rPr>
        <w:t>研究生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学位论文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Hans"/>
        </w:rPr>
        <w:t>中期考核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安排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组</w:t>
      </w:r>
    </w:p>
    <w:p/>
    <w:p>
      <w:pPr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一、时间：</w:t>
      </w:r>
      <w:r>
        <w:rPr>
          <w:rFonts w:hint="eastAsia" w:ascii="仿宋" w:hAnsi="仿宋" w:eastAsia="仿宋" w:cs="仿宋"/>
          <w:sz w:val="28"/>
          <w:szCs w:val="28"/>
        </w:rPr>
        <w:t>2023年</w:t>
      </w:r>
      <w:r>
        <w:rPr>
          <w:rFonts w:hint="default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default" w:ascii="仿宋" w:hAnsi="仿宋" w:eastAsia="仿宋" w:cs="仿宋"/>
          <w:sz w:val="28"/>
          <w:szCs w:val="28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日，</w:t>
      </w:r>
      <w:r>
        <w:rPr>
          <w:rFonts w:hint="default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default" w:ascii="仿宋" w:hAnsi="仿宋" w:eastAsia="仿宋" w:cs="仿宋"/>
          <w:sz w:val="28"/>
          <w:szCs w:val="28"/>
        </w:rPr>
        <w:t>00</w:t>
      </w:r>
      <w:r>
        <w:rPr>
          <w:rFonts w:hint="eastAsia" w:ascii="仿宋" w:hAnsi="仿宋" w:eastAsia="仿宋" w:cs="仿宋"/>
          <w:sz w:val="28"/>
          <w:szCs w:val="28"/>
        </w:rPr>
        <w:t>-</w:t>
      </w:r>
      <w:r>
        <w:rPr>
          <w:rFonts w:hint="default" w:ascii="仿宋" w:hAnsi="仿宋" w:eastAsia="仿宋" w:cs="仿宋"/>
          <w:sz w:val="28"/>
          <w:szCs w:val="28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default" w:ascii="仿宋" w:hAnsi="仿宋" w:eastAsia="仿宋" w:cs="仿宋"/>
          <w:sz w:val="28"/>
          <w:szCs w:val="28"/>
        </w:rPr>
        <w:t>00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二、地点：</w:t>
      </w:r>
      <w:r>
        <w:rPr>
          <w:rFonts w:hint="default" w:ascii="仿宋" w:hAnsi="仿宋" w:eastAsia="仿宋" w:cs="仿宋"/>
          <w:sz w:val="28"/>
          <w:szCs w:val="28"/>
        </w:rPr>
        <w:t>16-335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中期考核小组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曹晓华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组长</w:t>
            </w:r>
          </w:p>
        </w:tc>
      </w:tr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李锋盈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</w:tr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陈双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</w:tr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李城林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四、秘书：</w:t>
      </w:r>
      <w:r>
        <w:rPr>
          <w:rFonts w:hint="default" w:ascii="仿宋" w:hAnsi="仿宋" w:eastAsia="仿宋" w:cs="仿宋"/>
          <w:sz w:val="28"/>
          <w:szCs w:val="28"/>
        </w:rPr>
        <w:t>褚高红</w:t>
      </w:r>
      <w:r>
        <w:rPr>
          <w:rFonts w:hint="eastAsia" w:ascii="仿宋" w:hAnsi="仿宋" w:eastAsia="仿宋" w:cs="仿宋"/>
          <w:sz w:val="28"/>
          <w:szCs w:val="28"/>
        </w:rPr>
        <w:t>（长号：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15243175827</w:t>
      </w:r>
      <w:r>
        <w:rPr>
          <w:rFonts w:hint="eastAsia" w:ascii="仿宋" w:hAnsi="仿宋" w:eastAsia="仿宋" w:cs="仿宋"/>
          <w:sz w:val="28"/>
          <w:szCs w:val="28"/>
        </w:rPr>
        <w:t>，邮箱：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instrText xml:space="preserve"> HYPERLINK "mailto:cgh15243175827@163.com" </w:instrTex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sz w:val="28"/>
          <w:szCs w:val="28"/>
        </w:rPr>
        <w:t>cgh15243175827@163.com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五、参加答辩研究生</w:t>
      </w:r>
    </w:p>
    <w:tbl>
      <w:tblPr>
        <w:tblStyle w:val="6"/>
        <w:tblW w:w="7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13"/>
        <w:gridCol w:w="1033"/>
        <w:gridCol w:w="4288"/>
      </w:tblGrid>
      <w:tr>
        <w:trPr>
          <w:trHeight w:val="398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姓名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导师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学位论文题目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程慧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王小琴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认知控制对情绪调节灵活性的影响及干预研究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杨书航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李新宇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自上而下加工和选择历史在注意捕获中的权衡过程：以类别信息为例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陈志远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李新宇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在线学习的课件可获取性与学习目标对认知卸载的影响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马嘉怡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李新宇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决策者童年创伤对模拟司法决策的影响基于亲属相犯案件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张蕾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谢芳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语境限制性对副中央凹预视加工影 响的眼动研究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陈婉莹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谢芳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动机强度影响老年人背景信息情绪记忆积极效应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7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李欣泽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任俊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不公平经历对无关第三方欺骗的影响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8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赵梦琦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任俊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基于功能磁共振成像对焦虑症患者记忆缺陷的研究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9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邬才洪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任俊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《双趋双避冲突情境下人们的自主选择偏好》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Hans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eastAsia="zh-Hans" w:bidi="ar-SA"/>
              </w:rPr>
              <w:t>10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张加茜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李华云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达芬奇立体视形成立体视觉的加工机制 及其影响因素的研究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lang w:eastAsia="zh-Hans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余家豪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李华云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弱立体视觉个体的识别及其神经特征研究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</w:t>
            </w:r>
            <w:r>
              <w:rPr>
                <w:rFonts w:hint="default" w:ascii="仿宋" w:hAnsi="仿宋" w:eastAsia="仿宋" w:cs="仿宋"/>
                <w:sz w:val="24"/>
                <w:lang w:eastAsia="zh-Hans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王欣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李华云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外边缘视差与亮度对比度对间隙立体视 知觉的影响：行为与ERP研究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eastAsia="zh-Hans"/>
              </w:rPr>
              <w:t>13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童妤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孙炳海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意象视角对助人意愿的影响：共情关注的中介作用和特质共情的调节作用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eastAsia="zh-Hans"/>
              </w:rPr>
              <w:t>14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朱李彤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李伟健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大学生社会比较对社会善念的影响</w:t>
            </w:r>
          </w:p>
        </w:tc>
      </w:tr>
    </w:tbl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  <w:u w:val="single"/>
        </w:rPr>
      </w:pPr>
      <w:bookmarkStart w:id="0" w:name="_GoBack"/>
      <w:bookmarkEnd w:id="0"/>
    </w:p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  <w:u w:val="single"/>
        </w:rPr>
        <w:sectPr>
          <w:pgSz w:w="11906" w:h="16838"/>
          <w:pgMar w:top="1213" w:right="1800" w:bottom="1213" w:left="1800" w:header="851" w:footer="992" w:gutter="0"/>
          <w:cols w:space="0" w:num="1"/>
          <w:docGrid w:type="lines" w:linePitch="312" w:charSpace="0"/>
        </w:sectPr>
      </w:pPr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心理学院</w:t>
      </w:r>
    </w:p>
    <w:p>
      <w:pPr>
        <w:ind w:firstLine="21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2023年</w:t>
      </w:r>
      <w:r>
        <w:rPr>
          <w:rFonts w:hint="default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p/>
    <w:p>
      <w:pPr>
        <w:rPr>
          <w:rFonts w:hint="eastAsia" w:eastAsiaTheme="minorEastAsia"/>
          <w:lang w:val="en-US" w:eastAsia="zh-Hans"/>
        </w:rPr>
      </w:pPr>
    </w:p>
    <w:sectPr>
      <w:pgSz w:w="11906" w:h="16838"/>
      <w:pgMar w:top="1213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A2B0F"/>
    <w:rsid w:val="3DF6BF40"/>
    <w:rsid w:val="4BBF665F"/>
    <w:rsid w:val="6FBB35C5"/>
    <w:rsid w:val="7B7A2B0F"/>
    <w:rsid w:val="7C7F69D9"/>
    <w:rsid w:val="BFFEDCD3"/>
    <w:rsid w:val="FD6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2023-10-25T01:56:00Z</dcterms:created>
  <dc:creator>apple</dc:creator>
  <cp:lastModifiedBy>apple</cp:lastModifiedBy>
  <dcterms:modified xsi:type="dcterms:W3CDTF">2023-10-26T11:22:04Z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